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 xml:space="preserve">Структура инвестиций в нефинансовые активы в Нижегородской области</w:t>
      </w:r>
      <w:r>
        <w:rPr>
          <w:rFonts w:ascii="Verdana" w:hAnsi="Verdana"/>
          <w:b/>
          <w:sz w:val="16"/>
        </w:rPr>
        <w:br/>
        <w:t xml:space="preserve"> за январь-</w:t>
      </w:r>
      <w:r>
        <w:rPr>
          <w:rFonts w:ascii="Verdana" w:hAnsi="Verdana"/>
          <w:b/>
          <w:sz w:val="16"/>
        </w:rPr>
        <w:t xml:space="preserve">июнь </w:t>
      </w:r>
      <w:r>
        <w:rPr>
          <w:rFonts w:ascii="Verdana" w:hAnsi="Verdana"/>
          <w:b/>
          <w:sz w:val="16"/>
        </w:rPr>
        <w:t xml:space="preserve">20</w:t>
      </w:r>
      <w:r>
        <w:rPr>
          <w:rFonts w:ascii="Verdana" w:hAnsi="Verdana"/>
          <w:b/>
          <w:sz w:val="16"/>
        </w:rPr>
        <w:t xml:space="preserve">2</w:t>
      </w:r>
      <w:r>
        <w:rPr>
          <w:rFonts w:ascii="Verdana" w:hAnsi="Verdana"/>
          <w:b/>
          <w:sz w:val="16"/>
        </w:rPr>
        <w:t xml:space="preserve">4</w:t>
      </w:r>
      <w:r>
        <w:rPr>
          <w:rFonts w:ascii="Verdana" w:hAnsi="Verdana"/>
          <w:b/>
          <w:sz w:val="16"/>
        </w:rPr>
        <w:t xml:space="preserve"> г.</w:t>
      </w:r>
      <w:r>
        <w:rPr>
          <w:rFonts w:ascii="Verdana" w:hAnsi="Verdana"/>
          <w:b/>
          <w:sz w:val="16"/>
        </w:rPr>
      </w:r>
    </w:p>
    <w:p>
      <w:pPr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(без субъе</w:t>
      </w:r>
      <w:r>
        <w:rPr>
          <w:rFonts w:ascii="Verdana" w:hAnsi="Verdana"/>
          <w:sz w:val="16"/>
        </w:rPr>
        <w:t xml:space="preserve">ктов малого предпринимательства</w:t>
      </w:r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t xml:space="preserve">и </w:t>
      </w:r>
      <w:r>
        <w:rPr>
          <w:rFonts w:ascii="Verdana" w:hAnsi="Verdana"/>
          <w:sz w:val="16"/>
        </w:rPr>
        <w:t xml:space="preserve">объема инвестиций, не наблюдаемых</w:t>
      </w:r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t xml:space="preserve">прямыми статистическими методами)</w:t>
      </w:r>
      <w:r>
        <w:rPr>
          <w:rFonts w:ascii="Verdana" w:hAnsi="Verdana"/>
          <w:sz w:val="16"/>
        </w:rPr>
      </w:r>
    </w:p>
    <w:tbl>
      <w:tblPr>
        <w:tblW w:w="5803" w:type="dxa"/>
        <w:jc w:val="center"/>
        <w:tblCellSpacing w:w="2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3230"/>
        <w:gridCol w:w="1677"/>
        <w:gridCol w:w="926"/>
      </w:tblGrid>
      <w:tr>
        <w:tblPrEx/>
        <w:trPr>
          <w:jc w:val="center"/>
          <w:tblCellSpacing w:w="20" w:type="dxa"/>
          <w:trHeight w:val="160"/>
        </w:trPr>
        <w:tc>
          <w:tcPr>
            <w:shd w:val="clear" w:color="000000" w:fill="99ccff"/>
            <w:tcW w:w="3160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rPr>
                <w:rFonts w:ascii="Verdana" w:hAnsi="Verdana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 w:cs="Times New Roman"/>
                <w:sz w:val="16"/>
                <w:szCs w:val="16"/>
                <w:lang w:eastAsia="ru-RU"/>
              </w:rPr>
              <w:t xml:space="preserve"> </w:t>
            </w:r>
            <w:r>
              <w:rPr>
                <w:rFonts w:ascii="Verdana" w:hAnsi="Verdana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gridSpan w:val="2"/>
            <w:shd w:val="clear" w:color="000000" w:fill="99ccff"/>
            <w:tcW w:w="252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Verdana" w:hAnsi="Verdana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 w:cs="Times New Roman"/>
                <w:sz w:val="16"/>
                <w:szCs w:val="16"/>
                <w:lang w:eastAsia="ru-RU"/>
              </w:rPr>
              <w:t xml:space="preserve">январь-</w:t>
            </w:r>
            <w:r>
              <w:rPr>
                <w:rFonts w:ascii="Verdana" w:hAnsi="Verdana" w:eastAsia="Times New Roman" w:cs="Times New Roman"/>
                <w:sz w:val="16"/>
                <w:szCs w:val="16"/>
                <w:lang w:eastAsia="ru-RU"/>
              </w:rPr>
              <w:t xml:space="preserve">июнь </w:t>
            </w:r>
            <w:r>
              <w:rPr>
                <w:rFonts w:ascii="Verdana" w:hAnsi="Verdana" w:eastAsia="Times New Roman" w:cs="Times New Roman"/>
                <w:sz w:val="16"/>
                <w:szCs w:val="16"/>
                <w:lang w:eastAsia="ru-RU"/>
              </w:rPr>
              <w:t xml:space="preserve">20</w:t>
            </w:r>
            <w:r>
              <w:rPr>
                <w:rFonts w:ascii="Verdana" w:hAnsi="Verdana" w:eastAsia="Times New Roman" w:cs="Times New Roman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Verdana" w:hAnsi="Verdana" w:eastAsia="Times New Roman" w:cs="Times New Roman"/>
                <w:sz w:val="16"/>
                <w:szCs w:val="16"/>
                <w:lang w:eastAsia="ru-RU"/>
              </w:rPr>
              <w:t xml:space="preserve">4</w:t>
            </w:r>
            <w:r>
              <w:rPr>
                <w:rFonts w:ascii="Verdana" w:hAnsi="Verdana" w:eastAsia="Times New Roman" w:cs="Times New Roman"/>
                <w:sz w:val="16"/>
                <w:szCs w:val="16"/>
                <w:lang w:eastAsia="ru-RU"/>
              </w:rPr>
              <w:t xml:space="preserve"> г.</w:t>
            </w:r>
            <w:r>
              <w:rPr>
                <w:rFonts w:ascii="Verdana" w:hAnsi="Verdana" w:eastAsia="Times New Roman" w:cs="Times New Roman"/>
                <w:sz w:val="16"/>
                <w:szCs w:val="16"/>
                <w:lang w:eastAsia="ru-RU"/>
              </w:rPr>
            </w:r>
          </w:p>
        </w:tc>
      </w:tr>
      <w:tr>
        <w:tblPrEx/>
        <w:trPr>
          <w:jc w:val="center"/>
          <w:tblCellSpacing w:w="20" w:type="dxa"/>
        </w:trPr>
        <w:tc>
          <w:tcPr>
            <w:tcW w:w="3160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rFonts w:ascii="Verdana" w:hAnsi="Verdana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99ccff"/>
            <w:tcW w:w="162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Verdana" w:hAnsi="Verdana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 w:cs="Times New Roman"/>
                <w:sz w:val="16"/>
                <w:szCs w:val="16"/>
                <w:lang w:eastAsia="ru-RU"/>
              </w:rPr>
              <w:t xml:space="preserve">млн. рублей</w:t>
            </w:r>
            <w:r>
              <w:rPr>
                <w:rFonts w:ascii="Verdana" w:hAnsi="Verdana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99ccff"/>
            <w:tcW w:w="8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Verdana" w:hAnsi="Verdana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 w:cs="Times New Roman"/>
                <w:sz w:val="16"/>
                <w:szCs w:val="16"/>
                <w:lang w:eastAsia="ru-RU"/>
              </w:rPr>
              <w:t xml:space="preserve">в % к итогу</w:t>
            </w:r>
            <w:r>
              <w:rPr>
                <w:rFonts w:ascii="Verdana" w:hAnsi="Verdana" w:eastAsia="Times New Roman" w:cs="Times New Roman"/>
                <w:sz w:val="16"/>
                <w:szCs w:val="16"/>
                <w:lang w:eastAsia="ru-RU"/>
              </w:rPr>
            </w:r>
          </w:p>
        </w:tc>
      </w:tr>
      <w:tr>
        <w:tblPrEx/>
        <w:trPr>
          <w:jc w:val="center"/>
          <w:tblCellSpacing w:w="20" w:type="dxa"/>
        </w:trPr>
        <w:tc>
          <w:tcPr>
            <w:shd w:val="clear" w:color="000000" w:fill="ccffff"/>
            <w:tcW w:w="3160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ascii="Verdana" w:hAnsi="Verdana" w:eastAsia="Times New Roman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 w:cs="Arial"/>
                <w:b/>
                <w:bCs/>
                <w:sz w:val="16"/>
                <w:szCs w:val="16"/>
                <w:lang w:eastAsia="ru-RU"/>
              </w:rPr>
              <w:t xml:space="preserve">Инвестиции в нефинансовые активы-всего</w:t>
            </w:r>
            <w:r>
              <w:rPr>
                <w:rFonts w:ascii="Verdana" w:hAnsi="Verdana" w:eastAsia="Times New Roman" w:cs="Arial"/>
                <w:b/>
                <w:bCs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ccffff"/>
            <w:tcW w:w="1627" w:type="dxa"/>
            <w:textDirection w:val="lrTb"/>
            <w:noWrap/>
          </w:tcPr>
          <w:p>
            <w:pPr>
              <w:ind w:firstLine="0"/>
              <w:jc w:val="right"/>
              <w:rPr>
                <w:rFonts w:ascii="Verdana" w:hAnsi="Verdana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 w:cs="Times New Roman"/>
                <w:b/>
                <w:bCs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 w:cs="Times New Roman"/>
                <w:b/>
                <w:bCs/>
                <w:sz w:val="16"/>
                <w:szCs w:val="16"/>
                <w:lang w:eastAsia="ru-RU"/>
              </w:rPr>
            </w:r>
          </w:p>
          <w:p>
            <w:pPr>
              <w:ind w:firstLine="0"/>
              <w:jc w:val="right"/>
              <w:rPr>
                <w:rFonts w:ascii="Verdana" w:hAnsi="Verdana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163859</w:t>
            </w:r>
            <w:r>
              <w:rPr>
                <w:rFonts w:ascii="Verdana" w:hAnsi="Verdana" w:eastAsia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.</w:t>
            </w:r>
            <w:r>
              <w:rPr>
                <w:rFonts w:ascii="Verdana" w:hAnsi="Verdana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5</w:t>
            </w:r>
            <w:r>
              <w:rPr>
                <w:rFonts w:ascii="Verdana" w:hAnsi="Verdana" w:eastAsia="Times New Roman" w:cs="Times New Roman"/>
                <w:b/>
                <w:bCs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ccffff"/>
            <w:tcW w:w="856" w:type="dxa"/>
            <w:vAlign w:val="bottom"/>
            <w:textDirection w:val="lrTb"/>
            <w:noWrap/>
          </w:tcPr>
          <w:p>
            <w:pPr>
              <w:ind w:firstLine="0"/>
              <w:jc w:val="right"/>
              <w:rPr>
                <w:rFonts w:ascii="Verdana" w:hAnsi="Verdana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100</w:t>
            </w:r>
            <w:r>
              <w:rPr>
                <w:rFonts w:ascii="Verdana" w:hAnsi="Verdana" w:eastAsia="Times New Roman" w:cs="Times New Roman"/>
                <w:b/>
                <w:bCs/>
                <w:sz w:val="16"/>
                <w:szCs w:val="16"/>
                <w:lang w:eastAsia="ru-RU"/>
              </w:rPr>
            </w:r>
          </w:p>
        </w:tc>
      </w:tr>
      <w:tr>
        <w:tblPrEx/>
        <w:trPr>
          <w:jc w:val="center"/>
          <w:tblCellSpacing w:w="20" w:type="dxa"/>
        </w:trPr>
        <w:tc>
          <w:tcPr>
            <w:shd w:val="clear" w:color="000000" w:fill="ccffff"/>
            <w:tcW w:w="3160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t xml:space="preserve">в том числе:</w:t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ccffff"/>
            <w:tcW w:w="1627" w:type="dxa"/>
            <w:vAlign w:val="bottom"/>
            <w:textDirection w:val="lrTb"/>
            <w:noWrap w:val="false"/>
          </w:tcPr>
          <w:p>
            <w:pPr>
              <w:ind w:firstLine="0"/>
              <w:jc w:val="right"/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ccffff"/>
            <w:tcW w:w="856" w:type="dxa"/>
            <w:vAlign w:val="bottom"/>
            <w:textDirection w:val="lrTb"/>
            <w:noWrap w:val="false"/>
          </w:tcPr>
          <w:p>
            <w:pPr>
              <w:ind w:firstLine="0"/>
              <w:jc w:val="right"/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</w:p>
        </w:tc>
      </w:tr>
      <w:tr>
        <w:tblPrEx/>
        <w:trPr>
          <w:jc w:val="center"/>
          <w:tblCellSpacing w:w="20" w:type="dxa"/>
          <w:trHeight w:val="276"/>
        </w:trPr>
        <w:tc>
          <w:tcPr>
            <w:shd w:val="clear" w:color="000000" w:fill="ccffff"/>
            <w:tcW w:w="3160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t xml:space="preserve">инвестиции в основной капитал</w:t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ccffff"/>
            <w:tcW w:w="1627" w:type="dxa"/>
            <w:vAlign w:val="bottom"/>
            <w:textDirection w:val="lrTb"/>
            <w:noWrap w:val="false"/>
          </w:tcPr>
          <w:p>
            <w:pPr>
              <w:ind w:firstLine="0"/>
              <w:jc w:val="right"/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t xml:space="preserve">162890.6</w:t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ccffff"/>
            <w:tcW w:w="856" w:type="dxa"/>
            <w:vAlign w:val="bottom"/>
            <w:textDirection w:val="lrTb"/>
            <w:noWrap/>
          </w:tcPr>
          <w:p>
            <w:pPr>
              <w:ind w:firstLine="0"/>
              <w:jc w:val="right"/>
              <w:rPr>
                <w:rFonts w:ascii="Verdana" w:hAnsi="Verdana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 w:cs="Times New Roman"/>
                <w:sz w:val="16"/>
                <w:szCs w:val="16"/>
                <w:lang w:eastAsia="ru-RU"/>
              </w:rPr>
              <w:t xml:space="preserve">99.</w:t>
            </w:r>
            <w:r>
              <w:rPr>
                <w:rFonts w:ascii="Verdana" w:hAnsi="Verdana" w:eastAsia="Times New Roman" w:cs="Times New Roman"/>
                <w:sz w:val="16"/>
                <w:szCs w:val="16"/>
                <w:lang w:val="en-US" w:eastAsia="ru-RU"/>
              </w:rPr>
              <w:t xml:space="preserve">4</w:t>
            </w:r>
            <w:r>
              <w:rPr>
                <w:rFonts w:ascii="Verdana" w:hAnsi="Verdana" w:eastAsia="Times New Roman" w:cs="Times New Roman"/>
                <w:sz w:val="16"/>
                <w:szCs w:val="16"/>
                <w:lang w:val="en-US" w:eastAsia="ru-RU"/>
              </w:rPr>
            </w:r>
          </w:p>
        </w:tc>
      </w:tr>
      <w:tr>
        <w:tblPrEx/>
        <w:trPr>
          <w:jc w:val="center"/>
          <w:tblCellSpacing w:w="20" w:type="dxa"/>
          <w:trHeight w:val="546"/>
        </w:trPr>
        <w:tc>
          <w:tcPr>
            <w:shd w:val="clear" w:color="000000" w:fill="ccffff"/>
            <w:tcW w:w="3160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t xml:space="preserve">инвестиции в </w:t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t xml:space="preserve">непроизведенные нефинансовые активы</w:t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ccffff"/>
            <w:tcW w:w="1627" w:type="dxa"/>
            <w:vAlign w:val="bottom"/>
            <w:textDirection w:val="lrTb"/>
            <w:noWrap/>
          </w:tcPr>
          <w:p>
            <w:pPr>
              <w:ind w:firstLine="0"/>
              <w:jc w:val="right"/>
              <w:rPr>
                <w:rFonts w:ascii="Verdana" w:hAnsi="Verdana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 w:cs="Times New Roman"/>
                <w:sz w:val="16"/>
                <w:szCs w:val="16"/>
                <w:lang w:val="en-US" w:eastAsia="ru-RU"/>
              </w:rPr>
              <w:t xml:space="preserve">968.9</w:t>
            </w:r>
            <w:r>
              <w:rPr>
                <w:rFonts w:ascii="Verdana" w:hAnsi="Verdana" w:eastAsia="Times New Roman" w:cs="Times New Roman"/>
                <w:sz w:val="16"/>
                <w:szCs w:val="16"/>
                <w:lang w:val="en-US" w:eastAsia="ru-RU"/>
              </w:rPr>
            </w:r>
          </w:p>
        </w:tc>
        <w:tc>
          <w:tcPr>
            <w:shd w:val="clear" w:color="000000" w:fill="ccffff"/>
            <w:tcW w:w="856" w:type="dxa"/>
            <w:vAlign w:val="bottom"/>
            <w:textDirection w:val="lrTb"/>
            <w:noWrap/>
          </w:tcPr>
          <w:p>
            <w:pPr>
              <w:ind w:firstLine="0"/>
              <w:jc w:val="right"/>
              <w:rPr>
                <w:rFonts w:ascii="Verdana" w:hAnsi="Verdana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 w:cs="Times New Roman"/>
                <w:sz w:val="16"/>
                <w:szCs w:val="16"/>
                <w:lang w:eastAsia="ru-RU"/>
              </w:rPr>
              <w:t xml:space="preserve">0.</w:t>
            </w:r>
            <w:r>
              <w:rPr>
                <w:rFonts w:ascii="Verdana" w:hAnsi="Verdana" w:eastAsia="Times New Roman" w:cs="Times New Roman"/>
                <w:sz w:val="16"/>
                <w:szCs w:val="16"/>
                <w:lang w:val="en-US" w:eastAsia="ru-RU"/>
              </w:rPr>
              <w:t xml:space="preserve">6</w:t>
            </w:r>
            <w:r>
              <w:rPr>
                <w:rFonts w:ascii="Verdana" w:hAnsi="Verdana" w:eastAsia="Times New Roman" w:cs="Times New Roman"/>
                <w:sz w:val="16"/>
                <w:szCs w:val="16"/>
                <w:lang w:val="en-US" w:eastAsia="ru-RU"/>
              </w:rPr>
            </w:r>
          </w:p>
        </w:tc>
      </w:tr>
      <w:tr>
        <w:tblPrEx/>
        <w:trPr>
          <w:jc w:val="center"/>
          <w:tblCellSpacing w:w="20" w:type="dxa"/>
        </w:trPr>
        <w:tc>
          <w:tcPr>
            <w:shd w:val="clear" w:color="000000" w:fill="ccffff"/>
            <w:tcW w:w="3160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ccffff"/>
            <w:tcW w:w="1627" w:type="dxa"/>
            <w:vAlign w:val="bottom"/>
            <w:textDirection w:val="lrTb"/>
            <w:noWrap/>
          </w:tcPr>
          <w:p>
            <w:pPr>
              <w:ind w:firstLine="0"/>
              <w:jc w:val="right"/>
              <w:rPr>
                <w:rFonts w:ascii="Verdana" w:hAnsi="Verdana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ccffff"/>
            <w:tcW w:w="856" w:type="dxa"/>
            <w:vAlign w:val="bottom"/>
            <w:textDirection w:val="lrTb"/>
            <w:noWrap/>
          </w:tcPr>
          <w:p>
            <w:pPr>
              <w:ind w:firstLine="0"/>
              <w:jc w:val="right"/>
              <w:rPr>
                <w:rFonts w:ascii="Verdana" w:hAnsi="Verdana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 w:cs="Times New Roman"/>
                <w:sz w:val="16"/>
                <w:szCs w:val="16"/>
                <w:lang w:eastAsia="ru-RU"/>
              </w:rPr>
            </w:r>
          </w:p>
        </w:tc>
      </w:tr>
      <w:tr>
        <w:tblPrEx/>
        <w:trPr>
          <w:jc w:val="center"/>
          <w:tblCellSpacing w:w="20" w:type="dxa"/>
        </w:trPr>
        <w:tc>
          <w:tcPr>
            <w:shd w:val="clear" w:color="000000" w:fill="ccffff"/>
            <w:tcW w:w="3160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ccffff"/>
            <w:tcW w:w="1627" w:type="dxa"/>
            <w:vAlign w:val="bottom"/>
            <w:textDirection w:val="lrTb"/>
            <w:noWrap/>
          </w:tcPr>
          <w:p>
            <w:pPr>
              <w:ind w:firstLine="0"/>
              <w:jc w:val="right"/>
              <w:rPr>
                <w:rFonts w:ascii="Verdana" w:hAnsi="Verdana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ccffff"/>
            <w:tcW w:w="856" w:type="dxa"/>
            <w:vAlign w:val="bottom"/>
            <w:textDirection w:val="lrTb"/>
            <w:noWrap/>
          </w:tcPr>
          <w:p>
            <w:pPr>
              <w:ind w:firstLine="0"/>
              <w:jc w:val="right"/>
              <w:rPr>
                <w:rFonts w:ascii="Verdana" w:hAnsi="Verdana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 w:cs="Times New Roman"/>
                <w:sz w:val="16"/>
                <w:szCs w:val="16"/>
                <w:lang w:eastAsia="ru-RU"/>
              </w:rPr>
            </w:r>
          </w:p>
        </w:tc>
      </w:tr>
    </w:tbl>
    <w:p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</w:r>
      <w:r>
        <w:rPr>
          <w:rFonts w:ascii="Verdana" w:hAnsi="Verdana"/>
          <w:sz w:val="1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Verdan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0" w:right="0"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4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4"/>
    <w:link w:val="657"/>
    <w:uiPriority w:val="99"/>
  </w:style>
  <w:style w:type="character" w:styleId="45">
    <w:name w:val="Footer Char"/>
    <w:basedOn w:val="654"/>
    <w:link w:val="659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59"/>
    <w:uiPriority w:val="99"/>
  </w:style>
  <w:style w:type="table" w:styleId="48">
    <w:name w:val="Table Grid"/>
    <w:basedOn w:val="6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4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4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paragraph" w:styleId="657">
    <w:name w:val="Header"/>
    <w:basedOn w:val="653"/>
    <w:link w:val="65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58" w:customStyle="1">
    <w:name w:val="Верхний колонтитул Знак"/>
    <w:basedOn w:val="654"/>
    <w:link w:val="657"/>
    <w:uiPriority w:val="99"/>
  </w:style>
  <w:style w:type="paragraph" w:styleId="659">
    <w:name w:val="Footer"/>
    <w:basedOn w:val="653"/>
    <w:link w:val="66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0" w:customStyle="1">
    <w:name w:val="Нижний колонтитул Знак"/>
    <w:basedOn w:val="654"/>
    <w:link w:val="659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73</cp:revision>
  <dcterms:created xsi:type="dcterms:W3CDTF">2013-12-06T11:08:00Z</dcterms:created>
  <dcterms:modified xsi:type="dcterms:W3CDTF">2024-08-01T08:00:21Z</dcterms:modified>
</cp:coreProperties>
</file>